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</w:tblGrid>
      <w:tr w:rsidR="00705BB0" w:rsidRPr="00CD4B8F" w:rsidTr="0033443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CD4B8F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CD4B8F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sz w:val="20"/>
                <w:szCs w:val="20"/>
              </w:rPr>
              <w:t xml:space="preserve">Makroekonomija </w:t>
            </w:r>
            <w:r w:rsidR="0088368B" w:rsidRPr="00CD4B8F">
              <w:rPr>
                <w:rFonts w:ascii="Times New Roman" w:hAnsi="Times New Roman"/>
                <w:b/>
                <w:sz w:val="20"/>
                <w:szCs w:val="20"/>
              </w:rPr>
              <w:t>II</w:t>
            </w:r>
          </w:p>
        </w:tc>
      </w:tr>
      <w:tr w:rsidR="00705BB0" w:rsidRPr="00CD4B8F" w:rsidTr="0033443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CD4B8F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CC471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EUA10</w:t>
            </w:r>
            <w:r w:rsidR="00CD4B8F" w:rsidRPr="00CD4B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20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CD4B8F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2</w:t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C11C9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Izv.prof.</w:t>
            </w:r>
            <w:r w:rsidR="00705BB0"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dr. sc</w:t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5129A" w:rsidRPr="00CD4B8F">
              <w:rPr>
                <w:rFonts w:ascii="Times New Roman" w:hAnsi="Times New Roman"/>
                <w:sz w:val="20"/>
                <w:szCs w:val="20"/>
              </w:rPr>
              <w:t>Lena Malešević Perović</w:t>
            </w:r>
          </w:p>
          <w:p w:rsidR="00E5129A" w:rsidRPr="00CD4B8F" w:rsidRDefault="00B84299" w:rsidP="00B842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Doc.dr.sc. Bruno Ćorić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2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AE6FE2" w:rsidRDefault="008C11C9" w:rsidP="004F66A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highlight w:val="green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</w:tr>
      <w:tr w:rsidR="00705BB0" w:rsidRPr="00CD4B8F" w:rsidTr="0033443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705BB0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CD4B8F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CD4B8F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CD4B8F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CD4B8F" w:rsidTr="0033443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CD4B8F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CD4B8F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0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CD4B8F" w:rsidTr="00334439"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334439" w:rsidRDefault="00705BB0" w:rsidP="00CD4B8F">
            <w:pP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da studenti ovladaju</w:t>
            </w:r>
            <w:r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osnovnim</w:t>
            </w:r>
            <w:r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makroekonomskih </w:t>
            </w:r>
            <w:r w:rsidR="00B84299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modelima (</w:t>
            </w:r>
            <w:r w:rsidR="00CD4B8F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IS-LM i Mundell-Flemingov model</w:t>
            </w:r>
            <w:r w:rsidR="00B84299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), te pomoću njih analiziraju </w:t>
            </w:r>
            <w:r w:rsidR="00B84299" w:rsidRPr="00334439">
              <w:rPr>
                <w:rFonts w:ascii="Times New Roman" w:hAnsi="Times New Roman"/>
                <w:sz w:val="20"/>
                <w:szCs w:val="20"/>
              </w:rPr>
              <w:t xml:space="preserve">utjecaj ekonomske politike na ravnotežnu razinu bruto domaćeg proizvoda i </w:t>
            </w:r>
            <w:r w:rsidR="00CD4B8F" w:rsidRPr="00334439">
              <w:rPr>
                <w:rFonts w:ascii="Times New Roman" w:hAnsi="Times New Roman"/>
                <w:sz w:val="20"/>
                <w:szCs w:val="20"/>
              </w:rPr>
              <w:t>kamate</w:t>
            </w:r>
            <w:r w:rsidR="0009139A" w:rsidRPr="0033443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334439" w:rsidRDefault="00334439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34439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27F0" w:rsidRPr="00FC27F0" w:rsidRDefault="00FC27F0" w:rsidP="00CD4B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C27F0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FC27F0" w:rsidRDefault="00FC27F0" w:rsidP="00CD4B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4B8F" w:rsidRPr="00AE6FE2" w:rsidRDefault="00FC27F0" w:rsidP="00CD4B8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Analizirati  ekonomsku aktivnost u kratkom  (</w:t>
            </w:r>
            <w:r w:rsidR="00CD4B8F"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korištenjem  IS-LM i Mundell-Fleming  modela</w:t>
            </w: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) i dugom roku. </w:t>
            </w:r>
          </w:p>
          <w:p w:rsidR="00CD4B8F" w:rsidRPr="00334439" w:rsidRDefault="00CD4B8F" w:rsidP="00CD4B8F">
            <w:p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44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D4B8F" w:rsidRPr="00FC27F0" w:rsidRDefault="00CD4B8F" w:rsidP="00932CD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C27F0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932CDE" w:rsidRPr="00AE6FE2" w:rsidRDefault="00932CDE" w:rsidP="00932CD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Analizirati  utjecaj mjera fiskalne i monetarne politike na BDP i kamatnu stopu pomoću IS-LM modela </w:t>
            </w:r>
          </w:p>
          <w:p w:rsidR="00932CDE" w:rsidRPr="00AE6FE2" w:rsidRDefault="00932CDE" w:rsidP="00932CD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Identificirati probleme provođenja politike stabilizacije, ulogu javnog duga i ekonomskih očekivanja</w:t>
            </w:r>
          </w:p>
          <w:p w:rsidR="00932CDE" w:rsidRPr="00AE6FE2" w:rsidRDefault="00932CDE" w:rsidP="00932CD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Analizirati utjecaj mjera fiskalne, monetarne i vanjsko-trgovinske politike na BDP i kamatnu stopu u slučaju fiksnog i fluktuirajućeg tečaja pomoću Mundell-Fleming modela </w:t>
            </w:r>
          </w:p>
          <w:p w:rsidR="00932CDE" w:rsidRPr="00AE6FE2" w:rsidRDefault="00932CDE" w:rsidP="00932CD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Identificirati  osnovne  determinante dugoročnog gospodarskog rasta</w:t>
            </w:r>
          </w:p>
          <w:p w:rsidR="004042E7" w:rsidRPr="00334439" w:rsidRDefault="004042E7" w:rsidP="00932CDE">
            <w:pPr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28"/>
              <w:gridCol w:w="650"/>
              <w:gridCol w:w="3119"/>
              <w:gridCol w:w="567"/>
            </w:tblGrid>
            <w:tr w:rsidR="00705BB0" w:rsidRPr="00CD4B8F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CD4B8F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CD4B8F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05BB0" w:rsidRPr="00CD4B8F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CD4B8F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CD4B8F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CD4B8F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CD4B8F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Ekonomija u vrlo kratkom roku: Ekonomske fluktuacije uzrokovane fluktuacijama agregatne potražnje. Tržište dobara i IS krivulja.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Što su i zašto dolazi do kratkoročnih ekonomskih fluktuacija. IS krivulja, promjene IS krivulje.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Osnove monetarne politike: kanali, osnovni pojmovi o novcu, teorije potražnje za novcem, monetarni efekti fiskalne 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Analiza i pr</w:t>
                  </w:r>
                  <w:r w:rsidR="00D632E3">
                    <w:rPr>
                      <w:rFonts w:ascii="Times New Roman" w:hAnsi="Times New Roman"/>
                      <w:sz w:val="20"/>
                      <w:szCs w:val="20"/>
                    </w:rPr>
                    <w:t>imjeri uzroka i posljedica prom</w:t>
                  </w:r>
                  <w:bookmarkStart w:id="0" w:name="_GoBack"/>
                  <w:bookmarkEnd w:id="0"/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jene u potražnji za novcem.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Tržište novca i LM krivulja: formiranje LM krivulje, monetarni i kreditni multiplikator, promjene LM </w:t>
                  </w: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krivulje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Grafička analiza događaja na tržištu novca: LM krivulja. Kvantitativna analiza efekata promjena ponude </w:t>
                  </w: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i/ili potražnje za novcem.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IS-LM model: Objašnjenje kratkoročnih ekonomskih fluktuacija uz pomoć IS-LM modela.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Grafička prezentacija IS-LM modela. Objašnjenje događaja iz bliže ekonomske povijesti pomoću IS-LM modela.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Uvodno o ekonomskoj politici: proces, ciljevi, instrumenti i mjere. Fiskalna politika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  <w:highlight w:val="lightGray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Što je kratkoročna ekonomska politika, te zašto se takva politika vodi. Koje vrste stabilizacijske politike poznajemo. Objašnjenja, analiza i primjeri na slučaju RH.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Javni dug: veličina, struktura, uzroci nastanka i njegova uloga u fiskalnoj politici. 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Kvantifikacija utjecaja mjera fiskalne  politike na BDP i kamatnu stopu pomoću IS-LM modela.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Monetarna politika: instrumenti i prikaz djelovanja pomoću IS-LM modela. Izbor najprikladnije ekonomke 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Kvantifikacija utjecaja mjera monetarne  politike na BDP i kamatnu stopu pomoću IS-LM modela.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Ekonomska politika: Aktivna ili pasivna, vođena po pravilima ili slobodnom voljom. Problemi provođenja politike stabilizacije.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Komparacija efekata kratkoročnih ekonomskih politika u slučajevima kada se one provode pomoću pravila ili slobodnom voljom.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Otvorena ekonomija: Međunarodni tokovi rada, kapitala i roba. Posljedice otvorene ekonomije: valutni tečajevi, štednja, investicije i produktivnost u otvorenoj ekonomiji.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Analiza razlika u temeljnim pretpostavkama modela koji prikazuju otvoreno u odnosu na zatvoreno gospodarstvo.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Efekti Ekonomske politike u otvorenoj ekonomiji: Mundell-Fleming model male ekonomije u situaciji: a) fluktuirajućeg tečaja i b) fiksnog tečaja.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Analiza ekonomske situacije i efekata ekonomske politike na primjeru zemlje s fluktuirajućim i fiksnim deviznim tečajem. Analiza ekonomske situacije u RH pomoću Mundell-Fleming modela..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 xml:space="preserve">Očekivanja: adaptivna i racionalna ekonomskih očekivanja i njihova uloga u objašnjenju ekonomskih pojava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Očekivanja: vrste očekivanja i njihov utjecaj na ekonomske pojave kroz primjere.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Teorije poslovnih ciklusa: teorijska objašnjenja kratkoročnih ekonomskih fluktuacija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Što su i zašto dolazi do kratkoročnih ekonomskih fluktuacija. Veličina i "pravilnost" kratkoročnih fluktuacija u BDP-u kroz povijest.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Modeli ekonomskog rasta: Marxov, Feldmanov, Harrod-Domarov, Neoklasični, Solowljev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Povijesni kontekst teorije rasta, razmatranje modela rasta s aspekta propitkivanja ekonomskih politika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Teorije rasta: Najnoviji pogledi na problematiku dugoročnog ekonomskog rasta, endogene teorije rasta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  <w:highlight w:val="lightGray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Analiza prosječne veličine rasta BDP-a Hrvatske i ostalih zemalja svijeta kroz povijest, kroz prizmu novijih teorijskih pogleda na uzroke ekonomskog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D4B8F" w:rsidRPr="00CD4B8F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Povijest moderne makroekonomije.  (Makro) ekonomska teorija i hrvatska stvarnost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  <w:highlight w:val="lightGray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Kuda ide ekonomska znanost, problemi i izazovi. Sumiranje rezultata studentske aktivnosti.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4B8F" w:rsidRPr="00CD4B8F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D4B8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CD4B8F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CD4B8F" w:rsidTr="0033443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CD4B8F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CD4B8F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CD4B8F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CD4B8F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CD4B8F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5065"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815065" w:rsidRPr="00CD4B8F">
              <w:rPr>
                <w:rFonts w:ascii="Times New Roman" w:hAnsi="Times New Roman"/>
                <w:sz w:val="20"/>
                <w:szCs w:val="20"/>
              </w:rPr>
            </w:r>
            <w:r w:rsidR="00815065"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D4B8F">
              <w:rPr>
                <w:rFonts w:ascii="Times New Roman" w:hAnsi="Times New Roman"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> </w:t>
            </w:r>
            <w:r w:rsidR="00815065"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CD4B8F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CD4B8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D4B8F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CD4B8F" w:rsidTr="0033443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CD4B8F">
              <w:rPr>
                <w:rFonts w:ascii="Times New Roman" w:hAnsi="Times New Roman"/>
                <w:sz w:val="20"/>
                <w:szCs w:val="20"/>
              </w:rPr>
              <w:t>potpis je pohađanje minimalno 10 od 15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7200" w:rsidRPr="00CD4B8F"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CD4B8F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705BB0" w:rsidRPr="00CD4B8F" w:rsidTr="0033443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CA72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D4B8F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05BB0" w:rsidRPr="00CD4B8F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CD4B8F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CD4B8F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CD4B8F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D4B8F">
              <w:rPr>
                <w:b w:val="0"/>
                <w:sz w:val="20"/>
                <w:szCs w:val="20"/>
                <w:lang w:val="hr-HR"/>
              </w:rPr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CD4B8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D4B8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CD4B8F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B842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CC652E" w:rsidRDefault="00AE6FE2" w:rsidP="00B84299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CC652E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705BB0" w:rsidRPr="00CC652E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  <w:r w:rsidR="00785404" w:rsidRPr="00CC652E">
              <w:rPr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D4B8F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CD4B8F" w:rsidRDefault="00AE6FE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C652E">
              <w:rPr>
                <w:rFonts w:ascii="Times New Roman" w:hAnsi="Times New Roman"/>
                <w:color w:val="FF0000"/>
                <w:sz w:val="20"/>
                <w:szCs w:val="20"/>
              </w:rPr>
              <w:t>4</w:t>
            </w:r>
            <w:r w:rsidR="00B84299" w:rsidRPr="00CC652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C652E" w:rsidRDefault="00AE6FE2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CC652E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B84299" w:rsidRPr="00CC652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705BB0" w:rsidRPr="00CC652E">
              <w:rPr>
                <w:rFonts w:ascii="Times New Roman" w:hAnsi="Times New Roman"/>
                <w:color w:val="FF0000"/>
                <w:sz w:val="20"/>
                <w:szCs w:val="20"/>
              </w:rPr>
              <w:t>ECT</w:t>
            </w:r>
            <w:r w:rsidR="00785404" w:rsidRPr="00CC652E">
              <w:rPr>
                <w:rFonts w:ascii="Times New Roman" w:hAnsi="Times New Roman"/>
                <w:color w:val="FF0000"/>
                <w:sz w:val="20"/>
                <w:szCs w:val="20"/>
              </w:rPr>
              <w:t>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sz w:val="20"/>
                <w:szCs w:val="20"/>
              </w:rPr>
              <w:t xml:space="preserve">Uvjet za pristupanje ispitu je potpis. Tijekom godine bit će organizirana dva testa. 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sz w:val="20"/>
                <w:szCs w:val="20"/>
              </w:rPr>
              <w:t xml:space="preserve">Uvjet za pristupanje drugom testu je pozitivno ocijenjen prvi test </w:t>
            </w: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(za pozitivno ocijenjen test student/ica mora ostvariti najmanje 50% bodova). Ukoliko student/ica na oba testa ostvari 50% ili više bodova stječe pravo izlaska na usmeni dio ispita.</w:t>
            </w:r>
            <w:r w:rsidRPr="00AE6FE2">
              <w:rPr>
                <w:rFonts w:ascii="Times New Roman" w:hAnsi="Times New Roman"/>
                <w:sz w:val="20"/>
                <w:szCs w:val="20"/>
              </w:rPr>
              <w:t xml:space="preserve"> Ekvivalent položenim testovima je položen pismeni ispit (</w:t>
            </w: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za pozitivno ocijenjen test student/ica mora ostvariti najmanje 50% bodovana pismenom ispitu)</w:t>
            </w:r>
            <w:r w:rsidRPr="00AE6F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sz w:val="20"/>
                <w:szCs w:val="20"/>
              </w:rPr>
              <w:t>Nakon položenih testova ili pismenog ispita student pristupa usmenom ispitu.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Konačna ocjena se formira kao zbroj: </w:t>
            </w:r>
          </w:p>
          <w:p w:rsidR="00AE6FE2" w:rsidRPr="00AE6FE2" w:rsidRDefault="00AE6FE2" w:rsidP="00AE6FE2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jc w:val="both"/>
              <w:rPr>
                <w:color w:val="FF0000"/>
                <w:sz w:val="20"/>
                <w:szCs w:val="20"/>
              </w:rPr>
            </w:pPr>
            <w:r w:rsidRPr="00AE6FE2">
              <w:rPr>
                <w:color w:val="FF0000"/>
                <w:sz w:val="20"/>
                <w:szCs w:val="20"/>
              </w:rPr>
              <w:t>Prosječne ocjene ostvarene na testovima, odnosno ocjene ostvarene na pismenom ispitu, pomnožene ponderom 0,2, te</w:t>
            </w:r>
          </w:p>
          <w:p w:rsidR="00AE6FE2" w:rsidRPr="00AE6FE2" w:rsidRDefault="00AE6FE2" w:rsidP="00AE6FE2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jc w:val="both"/>
              <w:rPr>
                <w:color w:val="FF0000"/>
                <w:sz w:val="20"/>
                <w:szCs w:val="20"/>
              </w:rPr>
            </w:pPr>
            <w:r w:rsidRPr="00AE6FE2">
              <w:rPr>
                <w:color w:val="FF0000"/>
                <w:sz w:val="20"/>
                <w:szCs w:val="20"/>
              </w:rPr>
              <w:t>Ocjene ostvarene na usmenom dijelu ispita pomnožene s ponderom 0,8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0-49      nedovoljan (1)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50-65    dovoljan (2)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66-75    dobar (3)</w:t>
            </w:r>
          </w:p>
          <w:p w:rsidR="00AE6FE2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76-85    vrlo dobar (4)</w:t>
            </w:r>
          </w:p>
          <w:p w:rsidR="00941659" w:rsidRP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>86-100  izvrstan (5)</w:t>
            </w:r>
          </w:p>
        </w:tc>
      </w:tr>
      <w:tr w:rsidR="00705BB0" w:rsidRPr="00CD4B8F" w:rsidTr="0033443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05BB0" w:rsidRPr="00CD4B8F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B84299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Babić, M.: Makroekonomija, MATE, Zagreb, 2003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C80F0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B84299" w:rsidP="00B842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Blanchard, O.: Makroekonomija, MATE, Zagreb, 2011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C80F0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5781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Autorizirani nastavni materijali na Moodle stranicama </w:t>
            </w: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5781A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Moodle</w:t>
            </w:r>
          </w:p>
        </w:tc>
      </w:tr>
      <w:tr w:rsidR="00705BB0" w:rsidRPr="00CD4B8F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CD4B8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4299" w:rsidRPr="00CD4B8F" w:rsidRDefault="00B84299" w:rsidP="00B84299">
            <w:pPr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t>Mankiw, G.: Macroeconomics, Worth Publishers, New York, 2003</w:t>
            </w: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4548">
              <w:rPr>
                <w:rFonts w:ascii="Times New Roman" w:hAnsi="Times New Roman"/>
                <w:color w:val="FF0000"/>
                <w:sz w:val="20"/>
                <w:szCs w:val="20"/>
              </w:rPr>
              <w:t>Ćorić, B. i Malešević Perović, L.: Makroekonomija: teorija i politika, Sveučilište u Splitu, Split, 2013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Državni zavod za statistiku RH (</w:t>
            </w:r>
            <w:hyperlink r:id="rId7" w:history="1">
              <w:r w:rsidRPr="000956A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www.dzs.hr</w:t>
              </w:r>
            </w:hyperlink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Hrvatska narodna banka – statistički podaci (</w:t>
            </w:r>
            <w:hyperlink r:id="rId8" w:history="1">
              <w:r w:rsidRPr="000956A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https://www.hnb.hr/statistika/statisticki-podaci</w:t>
              </w:r>
            </w:hyperlink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Penn World Table (</w:t>
            </w:r>
            <w:hyperlink r:id="rId9" w:history="1">
              <w:r w:rsidRPr="000956A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https://www.rug.nl/ggdc/productivity/pwt/</w:t>
              </w:r>
            </w:hyperlink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AE6FE2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Eurostat (</w:t>
            </w:r>
            <w:r w:rsidRPr="00442686">
              <w:rPr>
                <w:rFonts w:ascii="Times New Roman" w:hAnsi="Times New Roman"/>
                <w:color w:val="FF0000"/>
                <w:sz w:val="20"/>
                <w:szCs w:val="20"/>
              </w:rPr>
              <w:t>http://ec.europa.eu/eurostat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EE6DFE" w:rsidRPr="00AE6FE2" w:rsidRDefault="00EE6DFE" w:rsidP="00B842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Institut za javne financija </w:t>
            </w:r>
            <w:hyperlink r:id="rId10" w:history="1">
              <w:r w:rsidRPr="00AE6FE2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www.ijf.hr</w:t>
              </w:r>
            </w:hyperlink>
          </w:p>
          <w:p w:rsidR="00EE6DFE" w:rsidRPr="00AE6FE2" w:rsidRDefault="00EE6DFE" w:rsidP="00B842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Ekonomski institut Zagreb </w:t>
            </w:r>
            <w:hyperlink r:id="rId11" w:history="1">
              <w:r w:rsidRPr="00AE6FE2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www.eizg.hr</w:t>
              </w:r>
            </w:hyperlink>
          </w:p>
          <w:p w:rsidR="00EE6DFE" w:rsidRPr="00AE6FE2" w:rsidRDefault="00EE6DFE" w:rsidP="00B842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Svjetska banka </w:t>
            </w:r>
            <w:hyperlink r:id="rId12" w:history="1">
              <w:r w:rsidRPr="00AE6FE2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www.worldbank.org</w:t>
              </w:r>
            </w:hyperlink>
          </w:p>
          <w:p w:rsidR="00EE6DFE" w:rsidRPr="00AE6FE2" w:rsidRDefault="00EE6DFE" w:rsidP="00B842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6FE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Međunarodni monetarni fond </w:t>
            </w:r>
            <w:hyperlink r:id="rId13" w:history="1">
              <w:r w:rsidRPr="00AE6FE2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www.imf.org</w:t>
              </w:r>
            </w:hyperlink>
          </w:p>
          <w:p w:rsidR="00EE6DFE" w:rsidRPr="00CD4B8F" w:rsidRDefault="00EE6DFE" w:rsidP="00B842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CD4B8F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CD4B8F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CD4B8F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CD4B8F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D4B8F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CD4B8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CD4B8F" w:rsidTr="0033443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CD4B8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CD4B8F" w:rsidRDefault="00815065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4B8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CD4B8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D4B8F">
              <w:rPr>
                <w:rFonts w:ascii="Times New Roman" w:hAnsi="Times New Roman"/>
                <w:sz w:val="20"/>
                <w:szCs w:val="20"/>
              </w:rPr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CD4B8F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D4B8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1A7" w:rsidRDefault="000841A7" w:rsidP="00705BB0">
      <w:pPr>
        <w:spacing w:after="0" w:line="240" w:lineRule="auto"/>
      </w:pPr>
      <w:r>
        <w:separator/>
      </w:r>
    </w:p>
  </w:endnote>
  <w:endnote w:type="continuationSeparator" w:id="0">
    <w:p w:rsidR="000841A7" w:rsidRDefault="000841A7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1A7" w:rsidRDefault="000841A7" w:rsidP="00705BB0">
      <w:pPr>
        <w:spacing w:after="0" w:line="240" w:lineRule="auto"/>
      </w:pPr>
      <w:r>
        <w:separator/>
      </w:r>
    </w:p>
  </w:footnote>
  <w:footnote w:type="continuationSeparator" w:id="0">
    <w:p w:rsidR="000841A7" w:rsidRDefault="000841A7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C34"/>
    <w:multiLevelType w:val="hybridMultilevel"/>
    <w:tmpl w:val="5B542F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778A"/>
    <w:multiLevelType w:val="hybridMultilevel"/>
    <w:tmpl w:val="823253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C5D6D"/>
    <w:multiLevelType w:val="hybridMultilevel"/>
    <w:tmpl w:val="ED1ABEB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72141"/>
    <w:multiLevelType w:val="hybridMultilevel"/>
    <w:tmpl w:val="F0022C3A"/>
    <w:lvl w:ilvl="0" w:tplc="9D3C8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0156E"/>
    <w:rsid w:val="000841A7"/>
    <w:rsid w:val="0009139A"/>
    <w:rsid w:val="00151706"/>
    <w:rsid w:val="001B2654"/>
    <w:rsid w:val="002010B5"/>
    <w:rsid w:val="002407D7"/>
    <w:rsid w:val="002C7810"/>
    <w:rsid w:val="00334439"/>
    <w:rsid w:val="003D2559"/>
    <w:rsid w:val="004042E7"/>
    <w:rsid w:val="004921C4"/>
    <w:rsid w:val="004D4BA3"/>
    <w:rsid w:val="00504F7E"/>
    <w:rsid w:val="005D061B"/>
    <w:rsid w:val="00637A67"/>
    <w:rsid w:val="00705BB0"/>
    <w:rsid w:val="00723AD0"/>
    <w:rsid w:val="00741099"/>
    <w:rsid w:val="00785404"/>
    <w:rsid w:val="0080120C"/>
    <w:rsid w:val="00815065"/>
    <w:rsid w:val="00841B36"/>
    <w:rsid w:val="0085781A"/>
    <w:rsid w:val="0088368B"/>
    <w:rsid w:val="008C11C9"/>
    <w:rsid w:val="008E1DC3"/>
    <w:rsid w:val="008E2264"/>
    <w:rsid w:val="008E2E3E"/>
    <w:rsid w:val="00902791"/>
    <w:rsid w:val="00932CDE"/>
    <w:rsid w:val="00941659"/>
    <w:rsid w:val="00AE6FE2"/>
    <w:rsid w:val="00B766E6"/>
    <w:rsid w:val="00B84299"/>
    <w:rsid w:val="00C80F05"/>
    <w:rsid w:val="00C8698F"/>
    <w:rsid w:val="00CA20ED"/>
    <w:rsid w:val="00CA4AAC"/>
    <w:rsid w:val="00CA7200"/>
    <w:rsid w:val="00CC4711"/>
    <w:rsid w:val="00CC652E"/>
    <w:rsid w:val="00CD4B8F"/>
    <w:rsid w:val="00D632E3"/>
    <w:rsid w:val="00DB15A5"/>
    <w:rsid w:val="00E31488"/>
    <w:rsid w:val="00E41D66"/>
    <w:rsid w:val="00E5129A"/>
    <w:rsid w:val="00EE6DFE"/>
    <w:rsid w:val="00FA64F7"/>
    <w:rsid w:val="00FC27F0"/>
    <w:rsid w:val="00FE6125"/>
    <w:rsid w:val="00FE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E6D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6D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E6D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6DF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13" Type="http://schemas.openxmlformats.org/officeDocument/2006/relationships/hyperlink" Target="http://www.imf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openxmlformats.org/officeDocument/2006/relationships/hyperlink" Target="http://www.worldbank.org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izg.h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jf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ug.nl/ggdc/productivity/pw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2014-09-18T08:39:00Z</cp:lastPrinted>
  <dcterms:created xsi:type="dcterms:W3CDTF">2018-06-04T11:20:00Z</dcterms:created>
  <dcterms:modified xsi:type="dcterms:W3CDTF">2018-06-04T11:20:00Z</dcterms:modified>
</cp:coreProperties>
</file>